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包号及名称：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建设行政主管部门核发的房屋建筑工程监理乙级资质及以上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证明文件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拟派项目总监必须具备国家注册监理工程师资格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经第三方审计的财务报告或由银行出具的资信证明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4512988"/>
    <w:rsid w:val="0F1D7EBB"/>
    <w:rsid w:val="19F66602"/>
    <w:rsid w:val="1B3F7280"/>
    <w:rsid w:val="2AE17C85"/>
    <w:rsid w:val="2D2C7831"/>
    <w:rsid w:val="38AC5CC7"/>
    <w:rsid w:val="3D343DB9"/>
    <w:rsid w:val="3FFB7010"/>
    <w:rsid w:val="40E10F79"/>
    <w:rsid w:val="47A70895"/>
    <w:rsid w:val="5A57082F"/>
    <w:rsid w:val="5C4028AF"/>
    <w:rsid w:val="5E5A7BAC"/>
    <w:rsid w:val="5ED92985"/>
    <w:rsid w:val="5FAB062A"/>
    <w:rsid w:val="67CDAADC"/>
    <w:rsid w:val="696574CD"/>
    <w:rsid w:val="6F1D091E"/>
    <w:rsid w:val="74863BB7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2022-03-25T09:12:04Z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4D0D988D59C04DB3AC4E828A23D814F8</vt:lpwstr>
  </property>
</Properties>
</file>